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8366"/>
      </w:tblGrid>
      <w:tr>
        <w:trPr>
          <w:trHeight w:val="1826" w:hRule="atLeast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3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32"/>
                <w:szCs w:val="22"/>
              </w:rPr>
              <w:t>03/201</w:t>
            </w:r>
            <w:r>
              <w:rPr>
                <w:rFonts w:ascii="Times New Roman" w:hAnsi="Times New Roman"/>
                <w:b/>
                <w:bCs/>
                <w:sz w:val="32"/>
                <w:szCs w:val="22"/>
              </w:rPr>
              <w:t>8</w:t>
            </w:r>
          </w:p>
        </w:tc>
        <w:tc>
          <w:tcPr>
            <w:tcW w:w="8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2"/>
              </w:rPr>
              <w:t xml:space="preserve">ОТЧЕТ ОБ ИТОГАХ ГОЛОСОВАНИЯ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3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2"/>
              </w:rPr>
              <w:t>НА ВНЕОЧЕРЕДНОМ ОБЩЕМ СОБРАНИИ АКЦИОНЕРОВ ПУБЛИЧНОГО АКЦИОНЕРНОГО ОБЩЕСТВА «РОДИНА»</w:t>
            </w:r>
          </w:p>
        </w:tc>
      </w:tr>
      <w:tr>
        <w:trPr/>
        <w:tc>
          <w:tcPr>
            <w:tcW w:w="10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Полное фирменное наименование: 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Публичное акционерное общество «Родина»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Сокращенное наименование: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 xml:space="preserve"> ПАО «Родина»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ОГРН: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 xml:space="preserve"> 1022303977376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ИНН: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 xml:space="preserve"> 2334006686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КПП: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 xml:space="preserve"> 233401001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Адрес места нахождения: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Вид общего собрания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: внеочередное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Форма проведения общего собрания: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заочное голосование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Дата проведения собрания (дата окончания приема бюллетеней для голосования):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 xml:space="preserve"> «23» июля 2018 г.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Почтовый адрес, по которому направлялись заполненные бюллетени для голосования: 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Дата подсчета голосов: 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«23» июля 2018 г.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Место подсчета голосов: 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129090, Москва, Б. Балканский пер., д.20, стр.1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Дата составления отчета: 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«23» июля 2018 г.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Список лиц, имеющих право на участие в общем собрании акционеров: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составлен по состоянию на «29» июня 2018 г.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Функции счетной комиссии осуществляет регистратор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>: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  <w:t>Акционерное общество «Реестр» (ОГРН 1027700047275, ИНН/КПП 7704028206/770801001, адрес: 129090, Москва, Б. Балканский пер., д.20, стр.1).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Председатель собрания: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 xml:space="preserve"> Платошин Василий Васильевич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Секретарь собрания:</w:t>
            </w:r>
            <w:r>
              <w:rPr>
                <w:rFonts w:eastAsia="Calibri" w:ascii="Times New Roman" w:hAnsi="Times New Roman"/>
                <w:sz w:val="22"/>
                <w:szCs w:val="22"/>
              </w:rPr>
              <w:t xml:space="preserve"> Шивидов Борис Викторович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10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ПОВЕСТКА ДНЯ</w:t>
            </w:r>
          </w:p>
        </w:tc>
      </w:tr>
      <w:tr>
        <w:trPr>
          <w:trHeight w:val="600" w:hRule="atLeast"/>
        </w:trPr>
        <w:tc>
          <w:tcPr>
            <w:tcW w:w="1020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x-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>Определение порядка ведения внеочередного Общего собрания акционеров Общества.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x-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>О согласии на совершение крупной сделки (Кредитное соглашение №01RI6L об открытии невозобновляемой кредитной линии в российских рублях, заключаемое между ПАО «Родина» (Заемщик) и АО «АЛЬФА-БАНК» (Кредитор)), взаимосвязанной с ранее заключенными между ПАО «Родина» и АО «АЛЬФА-БАНК» сделками.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x-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x-none"/>
              </w:rPr>
              <w:t>О согласии на совершение крупной сделки (Кредитное соглашение №01RI7L об открытии невозобновляемой кредитной линии в российских рублях, заключаемое между ПАО «Родина» (Заемщик) и АО «АЛЬФА-БАНК» (Кредитор)), взаимосвязанной с ранее заключенными между ПАО «Родина» и АО «АЛЬФА-БАНК» сделками.</w:t>
            </w:r>
          </w:p>
          <w:p>
            <w:pPr>
              <w:pStyle w:val="Normal"/>
              <w:ind w:left="720" w:hanging="0"/>
              <w:jc w:val="both"/>
              <w:rPr>
                <w:rFonts w:ascii="Times New Roman" w:hAnsi="Times New Roman"/>
                <w:bCs/>
                <w:sz w:val="22"/>
                <w:szCs w:val="22"/>
                <w:lang w:val="x-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x-none"/>
              </w:rPr>
            </w:r>
          </w:p>
        </w:tc>
      </w:tr>
    </w:tbl>
    <w:p>
      <w:pPr>
        <w:pStyle w:val="Normal"/>
        <w:tabs>
          <w:tab w:val="left" w:pos="993" w:leader="none"/>
        </w:tabs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left" w:pos="993" w:leader="none"/>
        </w:tabs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u w:val="single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u w:val="single"/>
          <w:lang w:val="x-none" w:eastAsia="ru-RU"/>
        </w:rPr>
        <w:t>По вопросу повестки дня №1: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tbl>
      <w:tblPr>
        <w:tblW w:w="10206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804"/>
        <w:gridCol w:w="3401"/>
      </w:tblGrid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20 012 962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val="x-none" w:eastAsia="ru-RU"/>
        </w:rPr>
        <w:t>Кворум по данному вопросу повестки дня имеется.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  <w:t xml:space="preserve">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10206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804"/>
        <w:gridCol w:w="3401"/>
      </w:tblGrid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80808"/>
                <w:sz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080808"/>
                <w:sz w:val="22"/>
                <w:lang w:val="x-none"/>
              </w:rPr>
              <w:t>20 012 962 | 100%*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80808"/>
                <w:sz w:val="22"/>
                <w:szCs w:val="22"/>
                <w:lang w:val="x-none" w:eastAsia="ru-RU"/>
              </w:rPr>
              <w:t>0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80808"/>
                <w:sz w:val="22"/>
                <w:szCs w:val="22"/>
                <w:lang w:val="x-none" w:eastAsia="ru-RU"/>
              </w:rPr>
              <w:t>0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80808"/>
                <w:sz w:val="22"/>
                <w:szCs w:val="22"/>
                <w:lang w:val="x-none" w:eastAsia="ru-RU"/>
              </w:rPr>
              <w:t>0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080808"/>
          <w:szCs w:val="22"/>
          <w:lang w:val="x-none" w:eastAsia="ru-RU"/>
        </w:rPr>
      </w:pPr>
      <w:r>
        <w:rPr>
          <w:rFonts w:eastAsia="Times New Roman" w:ascii="Times New Roman" w:hAnsi="Times New Roman"/>
          <w:color w:val="080808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№12-6/пз-н).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  <w:t>Формулировка принятого решения: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080808"/>
          <w:sz w:val="22"/>
          <w:szCs w:val="22"/>
          <w:lang w:val="x-none" w:eastAsia="ru-RU"/>
        </w:rPr>
      </w:pPr>
      <w:r>
        <w:rPr>
          <w:rFonts w:eastAsia="Times New Roman" w:ascii="Times New Roman" w:hAnsi="Times New Roman"/>
          <w:color w:val="080808"/>
          <w:sz w:val="22"/>
          <w:szCs w:val="22"/>
          <w:lang w:eastAsia="ru-RU"/>
        </w:rPr>
        <w:t xml:space="preserve">1.1 </w:t>
      </w:r>
      <w:r>
        <w:rPr>
          <w:rFonts w:eastAsia="Times New Roman" w:ascii="Times New Roman" w:hAnsi="Times New Roman"/>
          <w:color w:val="080808"/>
          <w:sz w:val="22"/>
          <w:szCs w:val="22"/>
          <w:lang w:val="x-none" w:eastAsia="ru-RU"/>
        </w:rPr>
        <w:t xml:space="preserve">Назначить председателем внеочередного Общего собрания акционеров ПАО «Родина - Платошина Василия Васильевича.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080808"/>
          <w:sz w:val="22"/>
          <w:szCs w:val="22"/>
          <w:lang w:val="x-none" w:eastAsia="ru-RU"/>
        </w:rPr>
      </w:pPr>
      <w:r>
        <w:rPr>
          <w:rFonts w:eastAsia="Times New Roman" w:ascii="Times New Roman" w:hAnsi="Times New Roman"/>
          <w:color w:val="080808"/>
          <w:sz w:val="22"/>
          <w:szCs w:val="22"/>
          <w:lang w:val="x-none" w:eastAsia="ru-RU"/>
        </w:rPr>
        <w:t>1.2. Назначить Секретарем внеочередного Общего собрания акционеров ПАО «Родина» Шивидова Бориса Викторовича.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u w:val="single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u w:val="single"/>
          <w:lang w:val="x-none"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u w:val="single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u w:val="single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u w:val="single"/>
          <w:lang w:val="x-none" w:eastAsia="ru-RU"/>
        </w:rPr>
        <w:t>По вопросу повестки дня №2: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tbl>
      <w:tblPr>
        <w:tblW w:w="10206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804"/>
        <w:gridCol w:w="3401"/>
      </w:tblGrid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20 012 962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val="x-none" w:eastAsia="ru-RU"/>
        </w:rPr>
        <w:t>Кворум по данному вопросу повестки дня имеется.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  <w:t xml:space="preserve">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10206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804"/>
        <w:gridCol w:w="3401"/>
      </w:tblGrid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80808"/>
                <w:sz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080808"/>
                <w:sz w:val="22"/>
                <w:lang w:val="x-none"/>
              </w:rPr>
              <w:t>20 012 962 | 100%*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80808"/>
                <w:sz w:val="22"/>
                <w:szCs w:val="22"/>
                <w:lang w:val="x-none" w:eastAsia="ru-RU"/>
              </w:rPr>
              <w:t>0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80808"/>
                <w:sz w:val="22"/>
                <w:szCs w:val="22"/>
                <w:lang w:val="x-none" w:eastAsia="ru-RU"/>
              </w:rPr>
              <w:t>0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80808"/>
                <w:sz w:val="22"/>
                <w:szCs w:val="22"/>
                <w:lang w:val="x-none" w:eastAsia="ru-RU"/>
              </w:rPr>
              <w:t>0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080808"/>
          <w:szCs w:val="22"/>
          <w:lang w:val="x-none" w:eastAsia="ru-RU"/>
        </w:rPr>
      </w:pPr>
      <w:r>
        <w:rPr>
          <w:rFonts w:eastAsia="Times New Roman" w:ascii="Times New Roman" w:hAnsi="Times New Roman"/>
          <w:color w:val="080808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№12-6/пз-н).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  <w:t>Формулировка принятого решения:</w:t>
      </w:r>
    </w:p>
    <w:p>
      <w:pPr>
        <w:pStyle w:val="Normal"/>
        <w:widowControl/>
        <w:suppressAutoHyphens w:val="false"/>
        <w:jc w:val="both"/>
        <w:rPr>
          <w:rFonts w:ascii="Times New Roman CYR" w:hAnsi="Times New Roman CYR" w:eastAsia="Times New Roman" w:cs="Times New Roman CYR"/>
          <w:color w:val="080808"/>
          <w:sz w:val="22"/>
          <w:szCs w:val="22"/>
          <w:lang w:val="x-none" w:eastAsia="ru-RU"/>
        </w:rPr>
      </w:pPr>
      <w:r>
        <w:rPr>
          <w:rFonts w:eastAsia="Times New Roman" w:cs="Times New Roman CYR" w:ascii="Times New Roman CYR" w:hAnsi="Times New Roman CYR"/>
          <w:color w:val="080808"/>
          <w:sz w:val="22"/>
          <w:szCs w:val="22"/>
          <w:lang w:val="x-none" w:eastAsia="ru-RU"/>
        </w:rPr>
        <w:t>На основании пункта 28.1 (29) Устава Общества (согласие на совершение (предварительное одобрение) в установленном законом и настоящим Уставом порядке крупных сделок в случае, если предметом такой сделки является имущество, стоимость которого составляет свыше 50% (пятидесяти процентов) балансовой стоимости активов Общества, определенной по данным его бухгалтерской (финансовой) отчетности на последнюю отчетную дату), дать согласие на совершение следующей крупной сделки, взаимосвязанной с ранее заключенными между ПАО «Родина» и АО «АЛЬФА-БАНК» сделками:</w:t>
      </w:r>
    </w:p>
    <w:p>
      <w:pPr>
        <w:pStyle w:val="Normal"/>
        <w:widowControl/>
        <w:suppressAutoHyphens w:val="false"/>
        <w:jc w:val="both"/>
        <w:rPr>
          <w:rFonts w:ascii="Times New Roman CYR" w:hAnsi="Times New Roman CYR" w:eastAsia="Times New Roman" w:cs="Times New Roman CYR"/>
          <w:color w:val="080808"/>
          <w:sz w:val="22"/>
          <w:szCs w:val="22"/>
          <w:lang w:val="x-none" w:eastAsia="ru-RU"/>
        </w:rPr>
      </w:pPr>
      <w:r>
        <w:rPr>
          <w:rFonts w:eastAsia="Times New Roman" w:cs="Times New Roman CYR" w:ascii="Times New Roman CYR" w:hAnsi="Times New Roman CYR"/>
          <w:color w:val="080808"/>
          <w:sz w:val="22"/>
          <w:szCs w:val="22"/>
          <w:lang w:val="x-none"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 CYR" w:hAnsi="Times New Roman CYR" w:eastAsia="Times New Roman" w:cs="Times New Roman CYR"/>
          <w:color w:val="080808"/>
          <w:sz w:val="22"/>
          <w:szCs w:val="22"/>
          <w:lang w:val="x-none" w:eastAsia="ru-RU"/>
        </w:rPr>
      </w:pPr>
      <w:r>
        <w:rPr>
          <w:rFonts w:eastAsia="Times New Roman" w:cs="Times New Roman CYR" w:ascii="Times New Roman CYR" w:hAnsi="Times New Roman CYR"/>
          <w:color w:val="080808"/>
          <w:sz w:val="22"/>
          <w:szCs w:val="22"/>
          <w:lang w:val="x-none" w:eastAsia="ru-RU"/>
        </w:rPr>
        <w:t>Кредитное соглашение №01RI6L об открытии невозобновляемой кредитной линии в российских рублях, заключаемое между ПАО «Родина», ОГРН 1022303977376 (Заемщик) и АО «АЛЬФА-БАНК», ОГРН 1027700067328 (Кредитор) на следующих условиях: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bCs/>
          <w:sz w:val="22"/>
          <w:szCs w:val="22"/>
        </w:rPr>
      </w:pPr>
      <w:r>
        <w:rPr>
          <w:rFonts w:eastAsia="Times New Roman" w:ascii="Times New Roman" w:hAnsi="Times New Roman"/>
          <w:bCs/>
          <w:sz w:val="22"/>
          <w:szCs w:val="22"/>
        </w:rPr>
        <w:t>АО «АЛЬФА-БАНК» предоставляет ПАО «Родина» денежные средства в российских рублях («Кредиты») в форме невозобновляемой кредитной линии («Кредитная линия»);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bCs/>
          <w:sz w:val="22"/>
          <w:szCs w:val="22"/>
        </w:rPr>
      </w:pPr>
      <w:r>
        <w:rPr>
          <w:rFonts w:eastAsia="Times New Roman" w:ascii="Times New Roman" w:hAnsi="Times New Roman"/>
          <w:bCs/>
          <w:sz w:val="22"/>
          <w:szCs w:val="22"/>
        </w:rPr>
        <w:t>в рамках Кредитной линии ПАО «Родина» вправе получать Кредиты на общую сумму не более 150 000 000,00 (Сто пятьдесят миллионов 00/100) российских рублей («Лимит выдачи»);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bCs/>
          <w:sz w:val="22"/>
          <w:szCs w:val="22"/>
        </w:rPr>
      </w:pPr>
      <w:r>
        <w:rPr>
          <w:rFonts w:eastAsia="Times New Roman" w:ascii="Times New Roman" w:hAnsi="Times New Roman"/>
          <w:bCs/>
          <w:sz w:val="22"/>
          <w:szCs w:val="22"/>
        </w:rPr>
        <w:t xml:space="preserve">срок действия Кредитной линии: не более 18 (Восемнадцати) месяцев с даты заключения Кредитного соглашения включительно, ПАО «Родина» обязано погасить все полученные Кредиты не позднее даты окончания срока действия Кредитной линии; 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bCs/>
          <w:sz w:val="22"/>
          <w:szCs w:val="22"/>
        </w:rPr>
      </w:pPr>
      <w:r>
        <w:rPr>
          <w:rFonts w:eastAsia="Times New Roman" w:ascii="Times New Roman" w:hAnsi="Times New Roman"/>
          <w:bCs/>
          <w:sz w:val="22"/>
          <w:szCs w:val="22"/>
        </w:rPr>
        <w:t>Кредиты в течение срока действия Кредитной линии предоставляются на срок не более 18 (Восемнадцати) месяцев;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bCs/>
          <w:sz w:val="22"/>
          <w:szCs w:val="22"/>
        </w:rPr>
      </w:pPr>
      <w:r>
        <w:rPr>
          <w:rFonts w:eastAsia="Times New Roman" w:ascii="Times New Roman" w:hAnsi="Times New Roman"/>
          <w:bCs/>
          <w:sz w:val="22"/>
          <w:szCs w:val="22"/>
        </w:rPr>
        <w:t>за пользование Кредитом ПАО «Родина» уплачивает АО «АЛЬФА-БАНК» проценты по ставке, установленной соответствующим Дополнительным соглашением, но не более 12% (Двенадцати процентов) годовых;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bCs/>
          <w:sz w:val="22"/>
          <w:szCs w:val="22"/>
        </w:rPr>
      </w:pPr>
      <w:r>
        <w:rPr>
          <w:rFonts w:eastAsia="Times New Roman" w:ascii="Times New Roman" w:hAnsi="Times New Roman"/>
          <w:bCs/>
          <w:sz w:val="22"/>
          <w:szCs w:val="22"/>
        </w:rPr>
        <w:t xml:space="preserve">в случаях, установленных в договоре, АО «АЛЬФА-БАНК» вправе в одностороннем порядке повысить процентную ставку; 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bCs/>
          <w:sz w:val="22"/>
          <w:szCs w:val="22"/>
        </w:rPr>
      </w:pPr>
      <w:r>
        <w:rPr>
          <w:rFonts w:eastAsia="Times New Roman" w:ascii="Times New Roman" w:hAnsi="Times New Roman"/>
          <w:bCs/>
          <w:sz w:val="22"/>
          <w:szCs w:val="22"/>
        </w:rPr>
        <w:t>штрафные санкции за просрочку погашения кредита или процентов по кредиту: неустойку в размере действующей процентной ставки, увеличенной на 4 (Четыре) процентных пункта, в процентах годовых за каждый день просрочки.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u w:val="single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u w:val="single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080808"/>
          <w:sz w:val="22"/>
          <w:szCs w:val="22"/>
          <w:u w:val="single"/>
          <w:lang w:val="x-none" w:eastAsia="ru-RU"/>
        </w:rPr>
        <w:t>По вопросу повестки дня №3: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tbl>
      <w:tblPr>
        <w:tblW w:w="10206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804"/>
        <w:gridCol w:w="3401"/>
      </w:tblGrid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20 019 506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20 012 962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val="x-none" w:eastAsia="ru-RU"/>
        </w:rPr>
        <w:t>Кворум по данному вопросу повестки дня имеется.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  <w:t xml:space="preserve"> 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10206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804"/>
        <w:gridCol w:w="3401"/>
      </w:tblGrid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color w:val="080808"/>
                <w:sz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080808"/>
                <w:sz w:val="22"/>
                <w:lang w:val="x-none"/>
              </w:rPr>
              <w:t>20 012 962 | 100%*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80808"/>
                <w:sz w:val="22"/>
                <w:szCs w:val="22"/>
                <w:lang w:val="x-none" w:eastAsia="ru-RU"/>
              </w:rPr>
              <w:t>0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80808"/>
                <w:sz w:val="22"/>
                <w:szCs w:val="22"/>
                <w:lang w:val="x-none" w:eastAsia="ru-RU"/>
              </w:rPr>
              <w:t>0</w:t>
            </w:r>
          </w:p>
        </w:tc>
      </w:tr>
      <w:tr>
        <w:trPr/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ind w:right="140" w:hanging="0"/>
              <w:jc w:val="both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080808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34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 w:eastAsia="Times New Roman"/>
                <w:color w:val="080808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80808"/>
                <w:sz w:val="22"/>
                <w:szCs w:val="22"/>
                <w:lang w:val="x-none" w:eastAsia="ru-RU"/>
              </w:rPr>
              <w:t>0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color w:val="080808"/>
          <w:szCs w:val="22"/>
          <w:lang w:val="x-none" w:eastAsia="ru-RU"/>
        </w:rPr>
      </w:pPr>
      <w:r>
        <w:rPr>
          <w:rFonts w:eastAsia="Times New Roman" w:ascii="Times New Roman" w:hAnsi="Times New Roman"/>
          <w:color w:val="080808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№12-6/пз-н).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val="x-none"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  <w:t>Формулировка принятого решения: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Cs/>
          <w:color w:val="000000"/>
          <w:sz w:val="22"/>
          <w:szCs w:val="22"/>
          <w:lang w:eastAsia="ru-RU"/>
        </w:rPr>
      </w:pPr>
      <w:r>
        <w:rPr>
          <w:rFonts w:eastAsia="Times New Roman" w:ascii="Times New Roman" w:hAnsi="Times New Roman"/>
          <w:sz w:val="22"/>
          <w:szCs w:val="22"/>
        </w:rPr>
        <w:t>На основании пункта 28.1 (29) Устава Общества (согласие на совершение (предварительное одобрение) в установленном законом и настоящим Уставом порядке крупных сделок в случае, если предметом такой сделки является имущество, стоимость которого составляет свыше 50% (пятидесяти процентов) балансовой стоимости активов Общества, определенной по данным его бухгалтерской (финансовой) отчетности на последнюю отчетную дату), дать согласие на совершение следующей крупной сделки</w:t>
      </w:r>
      <w:r>
        <w:rPr>
          <w:rFonts w:eastAsia="Times New Roman" w:ascii="Times New Roman" w:hAnsi="Times New Roman"/>
          <w:iCs/>
          <w:color w:val="000000"/>
          <w:sz w:val="22"/>
          <w:szCs w:val="22"/>
          <w:lang w:eastAsia="ru-RU"/>
        </w:rPr>
        <w:t xml:space="preserve">, взаимосвязанной с ранее заключенными между </w:t>
      </w:r>
      <w:r>
        <w:rPr>
          <w:rFonts w:eastAsia="Times New Roman" w:ascii="Times New Roman" w:hAnsi="Times New Roman"/>
          <w:bCs/>
          <w:sz w:val="22"/>
          <w:szCs w:val="22"/>
          <w:lang w:eastAsia="ru-RU"/>
        </w:rPr>
        <w:t>ПАО «Родина»</w:t>
      </w:r>
      <w:r>
        <w:rPr>
          <w:rFonts w:eastAsia="Times New Roman" w:ascii="Times New Roman" w:hAnsi="Times New Roman"/>
          <w:b/>
          <w:bCs/>
          <w:iCs/>
          <w:color w:val="993366"/>
          <w:sz w:val="22"/>
          <w:szCs w:val="22"/>
          <w:lang w:eastAsia="ru-RU"/>
        </w:rPr>
        <w:t xml:space="preserve"> </w:t>
      </w:r>
      <w:r>
        <w:rPr>
          <w:rFonts w:eastAsia="Times New Roman" w:ascii="Times New Roman" w:hAnsi="Times New Roman"/>
          <w:iCs/>
          <w:color w:val="000000"/>
          <w:sz w:val="22"/>
          <w:szCs w:val="22"/>
          <w:lang w:eastAsia="ru-RU"/>
        </w:rPr>
        <w:t>и АО «АЛЬФА-БАНК» сделками: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iCs/>
          <w:color w:val="000000"/>
          <w:sz w:val="22"/>
          <w:szCs w:val="22"/>
          <w:lang w:eastAsia="ru-RU"/>
        </w:rPr>
      </w:pPr>
      <w:r>
        <w:rPr>
          <w:rFonts w:eastAsia="Times New Roman" w:ascii="Times New Roman" w:hAnsi="Times New Roman"/>
          <w:iCs/>
          <w:color w:val="000000"/>
          <w:sz w:val="22"/>
          <w:szCs w:val="22"/>
          <w:lang w:eastAsia="ru-RU"/>
        </w:rPr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Cs/>
          <w:sz w:val="22"/>
          <w:szCs w:val="22"/>
          <w:lang w:eastAsia="ru-RU"/>
        </w:rPr>
      </w:pPr>
      <w:r>
        <w:rPr>
          <w:rFonts w:eastAsia="Times New Roman" w:ascii="Times New Roman" w:hAnsi="Times New Roman"/>
          <w:bCs/>
          <w:sz w:val="22"/>
          <w:szCs w:val="22"/>
          <w:lang w:eastAsia="ru-RU"/>
        </w:rPr>
        <w:t>Кредитное соглашение №01RI7L об открытии невозобновляемой кредитной линии в российских рублях, заключаемое между ПАО «Родина», ОГРН 1022303977376 (Заемщик) и АО «АЛЬФА-БАНК», ОГРН 1027700067328 (Кредитор) на следующих условиях: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АО «АЛЬФА-БАНК» предоставляет ПАО «Родина» денежные средства в российских рублях («Кредиты») в форме невозобновляемой кредитной линии («Кредитная линия»);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в рамках Кредитной линии ПАО «Родина» вправе получать Кредиты на общую сумму не более 50 000 000,00 (Пятьдесят миллионов 00/100) российских рублей («Лимит выдачи»);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срок действия Кредитной линии: не более 18 (Восемнадцати) месяцев с даты заключения Кредитного соглашения включительно, ПАО «Родина» обязано погасить все полученные Кредиты не позднее даты окончания срока действия Кредитной линии; 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Кредиты в течение срока действия Кредитной линии предоставляются на срок не более 18 (Восемнадцати) месяцев;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за пользование Кредитом ПАО «Родина» уплачивает АО «АЛЬФА-БАНК» проценты по ставке, установленной соответствующим Дополнительным соглашением, но не более 12% (Двенадцати процентов) годовых;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 xml:space="preserve">в случаях, установленных в договоре, АО «АЛЬФА-БАНК» вправе в одностороннем порядке повысить процентную ставку; 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59" w:before="0" w:after="160"/>
        <w:contextualSpacing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штрафные санкции за просрочку погашения кредита или процентов по кредиту: неустойку в размере действующей процентной ставки, увеличенной на 4 (Четыре) процентных пункта, в процентах годовых за каждый день просрочки.</w:t>
      </w:r>
    </w:p>
    <w:p>
      <w:pPr>
        <w:pStyle w:val="Normal"/>
        <w:widowControl/>
        <w:suppressAutoHyphens w:val="false"/>
        <w:jc w:val="both"/>
        <w:rPr>
          <w:rFonts w:ascii="Times New Roman" w:hAnsi="Times New Roman" w:eastAsia="Times New Roman"/>
          <w:b/>
          <w:b/>
          <w:bCs/>
          <w:color w:val="080808"/>
          <w:sz w:val="22"/>
          <w:szCs w:val="22"/>
          <w:lang w:eastAsia="ru-RU"/>
        </w:rPr>
      </w:pPr>
      <w:r>
        <w:rPr>
          <w:rFonts w:eastAsia="Times New Roman" w:ascii="Times New Roman" w:hAnsi="Times New Roman"/>
          <w:b/>
          <w:bCs/>
          <w:color w:val="080808"/>
          <w:sz w:val="22"/>
          <w:szCs w:val="22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9"/>
        <w:gridCol w:w="3614"/>
      </w:tblGrid>
      <w:tr>
        <w:trPr/>
        <w:tc>
          <w:tcPr>
            <w:tcW w:w="623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ПАО «Родина»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61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Платошин В.В.</w:t>
            </w:r>
          </w:p>
        </w:tc>
      </w:tr>
      <w:tr>
        <w:trPr/>
        <w:tc>
          <w:tcPr>
            <w:tcW w:w="623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ПАО «Родина»</w:t>
            </w:r>
          </w:p>
        </w:tc>
        <w:tc>
          <w:tcPr>
            <w:tcW w:w="361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Шивидов Б.В.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5192"/>
    <w:pPr>
      <w:widowControl w:val="false"/>
      <w:suppressAutoHyphens w:val="true"/>
      <w:bidi w:val="0"/>
      <w:jc w:val="left"/>
    </w:pPr>
    <w:rPr>
      <w:rFonts w:ascii="Arial" w:hAnsi="Arial" w:eastAsia="Lucida Sans Unicode" w:cs="Times New Roman"/>
      <w:color w:val="auto"/>
      <w:sz w:val="20"/>
      <w:szCs w:val="24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f7450c"/>
    <w:pPr>
      <w:keepNext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f7450c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yle13" w:customStyle="1">
    <w:name w:val="Подзаголовок Знак"/>
    <w:link w:val="a3"/>
    <w:uiPriority w:val="11"/>
    <w:qFormat/>
    <w:rsid w:val="00f7450c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f7450c"/>
    <w:rPr>
      <w:i/>
      <w:iCs/>
      <w:color w:val="808080"/>
    </w:rPr>
  </w:style>
  <w:style w:type="character" w:styleId="Style14" w:customStyle="1">
    <w:name w:val="Верхний колонтитул Знак"/>
    <w:link w:val="a7"/>
    <w:uiPriority w:val="99"/>
    <w:qFormat/>
    <w:rsid w:val="00f13065"/>
    <w:rPr>
      <w:rFonts w:ascii="Arial" w:hAnsi="Arial" w:eastAsia="Lucida Sans Unicode" w:cs="Times New Roman"/>
      <w:sz w:val="20"/>
      <w:szCs w:val="24"/>
    </w:rPr>
  </w:style>
  <w:style w:type="character" w:styleId="Style15" w:customStyle="1">
    <w:name w:val="Нижний колонтитул Знак"/>
    <w:link w:val="a9"/>
    <w:uiPriority w:val="99"/>
    <w:qFormat/>
    <w:rsid w:val="00f13065"/>
    <w:rPr>
      <w:rFonts w:ascii="Arial" w:hAnsi="Arial" w:eastAsia="Lucida Sans Unicode" w:cs="Times New Roman"/>
      <w:sz w:val="20"/>
      <w:szCs w:val="24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Subtitle"/>
    <w:basedOn w:val="Normal"/>
    <w:link w:val="a4"/>
    <w:uiPriority w:val="11"/>
    <w:qFormat/>
    <w:rsid w:val="00f7450c"/>
    <w:pPr>
      <w:widowControl/>
      <w:suppressAutoHyphens w:val="false"/>
      <w:spacing w:lineRule="auto" w:line="276" w:before="0" w:after="200"/>
    </w:pPr>
    <w:rPr>
      <w:rFonts w:ascii="Cambria" w:hAnsi="Cambria" w:eastAsia="Times New Roman"/>
      <w:i/>
      <w:iCs/>
      <w:color w:val="4F81BD"/>
      <w:spacing w:val="15"/>
      <w:sz w:val="24"/>
    </w:rPr>
  </w:style>
  <w:style w:type="paragraph" w:styleId="NoSpacing">
    <w:name w:val="No Spacing"/>
    <w:uiPriority w:val="1"/>
    <w:qFormat/>
    <w:rsid w:val="00f7450c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2" w:customStyle="1">
    <w:name w:val="Цитата1"/>
    <w:basedOn w:val="Normal"/>
    <w:qFormat/>
    <w:rsid w:val="00d1608e"/>
    <w:pPr>
      <w:widowControl/>
      <w:ind w:left="1" w:right="1" w:firstLine="709"/>
      <w:jc w:val="both"/>
    </w:pPr>
    <w:rPr>
      <w:rFonts w:eastAsia="Times New Roman" w:cs="Arial"/>
      <w:sz w:val="22"/>
      <w:szCs w:val="20"/>
      <w:lang w:eastAsia="zh-CN"/>
    </w:rPr>
  </w:style>
  <w:style w:type="paragraph" w:styleId="Style22">
    <w:name w:val="Header"/>
    <w:basedOn w:val="Normal"/>
    <w:link w:val="a8"/>
    <w:uiPriority w:val="99"/>
    <w:unhideWhenUsed/>
    <w:rsid w:val="00f1306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unhideWhenUsed/>
    <w:rsid w:val="00f13065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c273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e5e2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5F7F-FB0F-407B-AC15-892118F8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4</Pages>
  <Words>1446</Words>
  <Characters>9520</Characters>
  <CharactersWithSpaces>10858</CharactersWithSpaces>
  <Paragraphs>113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2018-07-23T20:25:00Z</dcterms:created>
  <dc:creator>acer</dc:creator>
  <dc:description/>
  <dc:language>ru-RU</dc:language>
  <cp:lastModifiedBy/>
  <cp:lastPrinted>2018-05-17T09:02:00Z</cp:lastPrinted>
  <dcterms:modified xsi:type="dcterms:W3CDTF">2018-07-24T12:25:31Z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